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FE48"/>
    <w:p w14:paraId="5B68C746"/>
    <w:p w14:paraId="59FFFB6D"/>
    <w:tbl>
      <w:tblPr>
        <w:tblStyle w:val="10"/>
        <w:tblW w:w="0" w:type="auto"/>
        <w:tblInd w:w="0" w:type="dxa"/>
        <w:tblLayout w:type="autofit"/>
        <w:tblCellMar>
          <w:top w:w="0" w:type="dxa"/>
          <w:left w:w="108" w:type="dxa"/>
          <w:bottom w:w="0" w:type="dxa"/>
          <w:right w:w="108" w:type="dxa"/>
        </w:tblCellMar>
      </w:tblPr>
      <w:tblGrid>
        <w:gridCol w:w="9173"/>
      </w:tblGrid>
      <w:tr w14:paraId="49808453">
        <w:tblPrEx>
          <w:tblCellMar>
            <w:top w:w="0" w:type="dxa"/>
            <w:left w:w="108" w:type="dxa"/>
            <w:bottom w:w="0" w:type="dxa"/>
            <w:right w:w="108" w:type="dxa"/>
          </w:tblCellMar>
        </w:tblPrEx>
        <w:trPr>
          <w:trHeight w:val="1085" w:hRule="atLeast"/>
        </w:trPr>
        <w:tc>
          <w:tcPr>
            <w:tcW w:w="9173" w:type="dxa"/>
          </w:tcPr>
          <w:p w14:paraId="16BAE306">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EB892C1">
      <w:pPr>
        <w:adjustRightInd w:val="0"/>
        <w:spacing w:line="480" w:lineRule="exact"/>
        <w:jc w:val="center"/>
        <w:rPr>
          <w:rFonts w:ascii="黑体" w:hAnsi="宋体" w:eastAsia="黑体"/>
          <w:b/>
          <w:sz w:val="52"/>
          <w:szCs w:val="52"/>
        </w:rPr>
      </w:pPr>
    </w:p>
    <w:p w14:paraId="5C6233F7">
      <w:pPr>
        <w:adjustRightInd w:val="0"/>
        <w:spacing w:line="480" w:lineRule="exact"/>
        <w:jc w:val="center"/>
        <w:rPr>
          <w:rFonts w:ascii="黑体" w:hAnsi="宋体" w:eastAsia="黑体"/>
          <w:b/>
          <w:sz w:val="52"/>
          <w:szCs w:val="52"/>
        </w:rPr>
      </w:pPr>
    </w:p>
    <w:p w14:paraId="017DA4D1">
      <w:pPr>
        <w:adjustRightInd w:val="0"/>
        <w:spacing w:line="480" w:lineRule="exact"/>
        <w:jc w:val="center"/>
        <w:rPr>
          <w:rFonts w:ascii="黑体" w:hAnsi="宋体" w:eastAsia="黑体"/>
          <w:b/>
          <w:sz w:val="52"/>
          <w:szCs w:val="52"/>
        </w:rPr>
      </w:pPr>
    </w:p>
    <w:p w14:paraId="36D390B6">
      <w:pPr>
        <w:adjustRightInd w:val="0"/>
        <w:spacing w:line="480" w:lineRule="exact"/>
        <w:jc w:val="center"/>
        <w:rPr>
          <w:rFonts w:ascii="黑体" w:hAnsi="宋体" w:eastAsia="黑体"/>
          <w:b/>
          <w:sz w:val="52"/>
          <w:szCs w:val="52"/>
        </w:rPr>
      </w:pPr>
    </w:p>
    <w:p w14:paraId="6F556095">
      <w:pPr>
        <w:adjustRightInd w:val="0"/>
        <w:spacing w:line="480" w:lineRule="exact"/>
        <w:jc w:val="center"/>
        <w:rPr>
          <w:rFonts w:ascii="黑体" w:hAnsi="宋体" w:eastAsia="黑体"/>
          <w:b/>
          <w:sz w:val="52"/>
          <w:szCs w:val="52"/>
        </w:rPr>
      </w:pPr>
    </w:p>
    <w:p w14:paraId="60CA1443">
      <w:pPr>
        <w:adjustRightInd w:val="0"/>
        <w:spacing w:line="480" w:lineRule="exact"/>
        <w:jc w:val="center"/>
        <w:rPr>
          <w:rFonts w:ascii="黑体" w:hAnsi="宋体" w:eastAsia="黑体"/>
          <w:b/>
          <w:sz w:val="52"/>
          <w:szCs w:val="52"/>
        </w:rPr>
      </w:pPr>
    </w:p>
    <w:p w14:paraId="296CCC64">
      <w:pPr>
        <w:tabs>
          <w:tab w:val="left" w:pos="6930"/>
        </w:tabs>
        <w:adjustRightInd w:val="0"/>
        <w:spacing w:line="360" w:lineRule="auto"/>
        <w:jc w:val="center"/>
        <w:outlineLvl w:val="0"/>
        <w:rPr>
          <w:rFonts w:hint="eastAsia" w:ascii="黑体" w:hAnsi="黑体" w:eastAsia="黑体" w:cs="黑体"/>
          <w:b/>
          <w:bCs/>
          <w:sz w:val="44"/>
          <w:szCs w:val="44"/>
        </w:rPr>
      </w:pPr>
      <w:r>
        <w:rPr>
          <w:rFonts w:hint="default" w:ascii="Times New Roman" w:hAnsi="Times New Roman" w:eastAsia="黑体" w:cs="Times New Roman"/>
          <w:b/>
          <w:bCs/>
          <w:sz w:val="44"/>
          <w:szCs w:val="44"/>
          <w:lang w:eastAsia="zh-CN"/>
        </w:rPr>
        <w:t>202</w:t>
      </w:r>
      <w:r>
        <w:rPr>
          <w:rFonts w:hint="default" w:ascii="Times New Roman" w:hAnsi="Times New Roman" w:eastAsia="黑体" w:cs="Times New Roman"/>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eastAsia="zh-CN"/>
        </w:rPr>
        <w:t>尼勒克县</w:t>
      </w:r>
      <w:r>
        <w:rPr>
          <w:rFonts w:hint="eastAsia" w:ascii="黑体" w:hAnsi="黑体" w:eastAsia="黑体" w:cs="黑体"/>
          <w:b/>
          <w:bCs/>
          <w:sz w:val="44"/>
          <w:szCs w:val="44"/>
        </w:rPr>
        <w:t>安全帽产品质量</w:t>
      </w:r>
    </w:p>
    <w:p w14:paraId="361FAAE4">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监督抽查实施细则</w:t>
      </w:r>
    </w:p>
    <w:p w14:paraId="0FD6A11D">
      <w:pPr>
        <w:tabs>
          <w:tab w:val="left" w:pos="6930"/>
        </w:tabs>
        <w:adjustRightInd w:val="0"/>
        <w:spacing w:line="480" w:lineRule="exact"/>
        <w:jc w:val="left"/>
        <w:rPr>
          <w:rFonts w:ascii="黑体" w:hAnsi="黑体" w:eastAsia="黑体" w:cs="黑体"/>
          <w:b/>
          <w:bCs/>
          <w:sz w:val="44"/>
          <w:szCs w:val="44"/>
        </w:rPr>
      </w:pPr>
    </w:p>
    <w:p w14:paraId="18D59A3E">
      <w:pPr>
        <w:tabs>
          <w:tab w:val="left" w:pos="6930"/>
        </w:tabs>
        <w:adjustRightInd w:val="0"/>
        <w:spacing w:line="480" w:lineRule="exact"/>
        <w:jc w:val="left"/>
        <w:rPr>
          <w:rFonts w:ascii="黑体" w:hAnsi="宋体" w:eastAsia="黑体"/>
          <w:b/>
          <w:sz w:val="52"/>
          <w:szCs w:val="52"/>
        </w:rPr>
      </w:pPr>
    </w:p>
    <w:p w14:paraId="6FFE70DC">
      <w:pPr>
        <w:adjustRightInd w:val="0"/>
        <w:spacing w:line="480" w:lineRule="exact"/>
        <w:jc w:val="center"/>
        <w:rPr>
          <w:rFonts w:ascii="黑体" w:hAnsi="宋体" w:eastAsia="黑体"/>
          <w:b/>
          <w:sz w:val="52"/>
          <w:szCs w:val="52"/>
        </w:rPr>
      </w:pPr>
    </w:p>
    <w:p w14:paraId="4738212C">
      <w:pPr>
        <w:adjustRightInd w:val="0"/>
        <w:spacing w:line="480" w:lineRule="exact"/>
        <w:jc w:val="center"/>
        <w:rPr>
          <w:rFonts w:ascii="黑体" w:hAnsi="宋体" w:eastAsia="黑体"/>
          <w:b/>
          <w:sz w:val="52"/>
          <w:szCs w:val="52"/>
        </w:rPr>
      </w:pPr>
    </w:p>
    <w:p w14:paraId="421DF6D4">
      <w:pPr>
        <w:adjustRightInd w:val="0"/>
        <w:spacing w:line="480" w:lineRule="exact"/>
        <w:jc w:val="center"/>
        <w:rPr>
          <w:rFonts w:ascii="黑体" w:hAnsi="宋体" w:eastAsia="黑体"/>
          <w:b/>
          <w:sz w:val="52"/>
          <w:szCs w:val="52"/>
        </w:rPr>
      </w:pPr>
    </w:p>
    <w:p w14:paraId="1E199FF2">
      <w:pPr>
        <w:adjustRightInd w:val="0"/>
        <w:spacing w:line="480" w:lineRule="exact"/>
        <w:jc w:val="center"/>
        <w:rPr>
          <w:rFonts w:ascii="黑体" w:hAnsi="宋体" w:eastAsia="黑体"/>
          <w:b/>
          <w:sz w:val="52"/>
          <w:szCs w:val="52"/>
        </w:rPr>
      </w:pPr>
    </w:p>
    <w:p w14:paraId="23C8BDF5">
      <w:pPr>
        <w:adjustRightInd w:val="0"/>
        <w:spacing w:line="480" w:lineRule="exact"/>
        <w:rPr>
          <w:rFonts w:ascii="黑体" w:hAnsi="宋体" w:eastAsia="黑体"/>
          <w:sz w:val="52"/>
          <w:szCs w:val="52"/>
        </w:rPr>
      </w:pPr>
    </w:p>
    <w:p w14:paraId="1B250A98">
      <w:pPr>
        <w:adjustRightInd w:val="0"/>
        <w:spacing w:line="480" w:lineRule="exact"/>
        <w:jc w:val="center"/>
        <w:rPr>
          <w:rFonts w:ascii="黑体" w:hAnsi="宋体" w:eastAsia="黑体"/>
          <w:sz w:val="52"/>
          <w:szCs w:val="52"/>
        </w:rPr>
      </w:pPr>
    </w:p>
    <w:p w14:paraId="1179E44C">
      <w:pPr>
        <w:adjustRightInd w:val="0"/>
        <w:spacing w:line="480" w:lineRule="exact"/>
        <w:jc w:val="center"/>
        <w:rPr>
          <w:rFonts w:ascii="黑体" w:hAnsi="宋体" w:eastAsia="黑体"/>
          <w:b/>
          <w:sz w:val="52"/>
          <w:szCs w:val="52"/>
        </w:rPr>
      </w:pPr>
    </w:p>
    <w:p w14:paraId="19E86640">
      <w:pPr>
        <w:adjustRightInd w:val="0"/>
        <w:spacing w:line="480" w:lineRule="exact"/>
        <w:jc w:val="center"/>
        <w:rPr>
          <w:rFonts w:ascii="黑体" w:hAnsi="宋体" w:eastAsia="黑体"/>
          <w:b/>
          <w:sz w:val="52"/>
          <w:szCs w:val="52"/>
        </w:rPr>
      </w:pPr>
    </w:p>
    <w:p w14:paraId="0DEDB2E9">
      <w:pPr>
        <w:adjustRightInd w:val="0"/>
        <w:spacing w:line="480" w:lineRule="exact"/>
        <w:rPr>
          <w:rFonts w:ascii="黑体" w:hAnsi="宋体" w:eastAsia="黑体"/>
          <w:b/>
          <w:sz w:val="52"/>
          <w:szCs w:val="52"/>
        </w:rPr>
      </w:pPr>
    </w:p>
    <w:p w14:paraId="6441D097">
      <w:pPr>
        <w:adjustRightInd w:val="0"/>
        <w:spacing w:line="480" w:lineRule="exact"/>
        <w:rPr>
          <w:rFonts w:ascii="黑体" w:hAnsi="宋体" w:eastAsia="黑体"/>
          <w:b/>
          <w:sz w:val="52"/>
          <w:szCs w:val="52"/>
        </w:rPr>
      </w:pPr>
    </w:p>
    <w:p w14:paraId="03BB44D5">
      <w:pPr>
        <w:adjustRightInd w:val="0"/>
        <w:spacing w:line="480" w:lineRule="exact"/>
        <w:rPr>
          <w:rFonts w:ascii="黑体" w:hAnsi="宋体" w:eastAsia="黑体"/>
          <w:b/>
          <w:sz w:val="52"/>
          <w:szCs w:val="52"/>
        </w:rPr>
      </w:pPr>
    </w:p>
    <w:p w14:paraId="7FE17A22">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w:t>
      </w:r>
      <w:r>
        <w:rPr>
          <w:rFonts w:hint="eastAsia" w:ascii="黑体" w:hAnsi="黑体" w:eastAsia="黑体" w:cs="黑体"/>
          <w:bCs/>
          <w:sz w:val="24"/>
          <w:lang w:val="en-US" w:eastAsia="zh-CN"/>
        </w:rPr>
        <w:t>10</w:t>
      </w:r>
      <w:r>
        <w:rPr>
          <w:rFonts w:ascii="黑体" w:hAnsi="黑体" w:eastAsia="黑体" w:cs="黑体"/>
          <w:bCs/>
          <w:sz w:val="24"/>
        </w:rPr>
        <w:t>-</w:t>
      </w:r>
      <w:r>
        <w:rPr>
          <w:rFonts w:hint="eastAsia" w:ascii="黑体" w:hAnsi="黑体" w:eastAsia="黑体" w:cs="黑体"/>
          <w:bCs/>
          <w:sz w:val="24"/>
          <w:lang w:val="en-US" w:eastAsia="zh-CN"/>
        </w:rPr>
        <w:t>10</w:t>
      </w:r>
      <w:r>
        <w:rPr>
          <w:rFonts w:hint="eastAsia" w:ascii="黑体" w:hAnsi="黑体" w:eastAsia="黑体" w:cs="黑体"/>
          <w:bCs/>
          <w:sz w:val="24"/>
        </w:rPr>
        <w:t xml:space="preserve">发布                                        </w:t>
      </w: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w:t>
      </w:r>
      <w:r>
        <w:rPr>
          <w:rFonts w:hint="eastAsia" w:ascii="黑体" w:hAnsi="黑体" w:eastAsia="黑体" w:cs="黑体"/>
          <w:bCs/>
          <w:sz w:val="24"/>
          <w:lang w:val="en-US" w:eastAsia="zh-CN"/>
        </w:rPr>
        <w:t>10</w:t>
      </w:r>
      <w:r>
        <w:rPr>
          <w:rFonts w:ascii="黑体" w:hAnsi="黑体" w:eastAsia="黑体" w:cs="黑体"/>
          <w:bCs/>
          <w:sz w:val="24"/>
        </w:rPr>
        <w:t>-</w:t>
      </w:r>
      <w:r>
        <w:rPr>
          <w:rFonts w:hint="eastAsia" w:ascii="黑体" w:hAnsi="黑体" w:eastAsia="黑体" w:cs="黑体"/>
          <w:bCs/>
          <w:sz w:val="24"/>
          <w:lang w:val="en-US" w:eastAsia="zh-CN"/>
        </w:rPr>
        <w:t>16</w:t>
      </w:r>
      <w:r>
        <w:rPr>
          <w:rFonts w:hint="eastAsia" w:ascii="黑体" w:hAnsi="黑体" w:eastAsia="黑体" w:cs="黑体"/>
          <w:bCs/>
          <w:sz w:val="24"/>
        </w:rPr>
        <w:t>实施</w:t>
      </w:r>
    </w:p>
    <w:p w14:paraId="608B0CF4">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尼勒克县</w:t>
      </w:r>
      <w:r>
        <w:rPr>
          <w:rFonts w:hint="eastAsia" w:ascii="黑体" w:hAnsi="宋体" w:eastAsia="黑体" w:cs="黑体"/>
          <w:bCs/>
          <w:sz w:val="32"/>
          <w:szCs w:val="32"/>
        </w:rPr>
        <w:t>市场监督管理局</w:t>
      </w:r>
    </w:p>
    <w:p w14:paraId="6A5B47F3">
      <w:pPr>
        <w:spacing w:line="44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202</w:t>
      </w:r>
      <w:r>
        <w:rPr>
          <w:rFonts w:hint="eastAsia" w:ascii="宋体" w:hAnsi="宋体" w:eastAsia="宋体" w:cs="宋体"/>
          <w:b/>
          <w:color w:val="000000"/>
          <w:sz w:val="32"/>
          <w:szCs w:val="32"/>
          <w:lang w:val="en-US" w:eastAsia="zh-CN"/>
        </w:rPr>
        <w:t>5</w:t>
      </w:r>
      <w:r>
        <w:rPr>
          <w:rFonts w:hint="eastAsia" w:ascii="宋体" w:hAnsi="宋体" w:eastAsia="宋体" w:cs="宋体"/>
          <w:b/>
          <w:color w:val="000000"/>
          <w:sz w:val="32"/>
          <w:szCs w:val="32"/>
        </w:rPr>
        <w:t>年</w:t>
      </w:r>
      <w:r>
        <w:rPr>
          <w:rFonts w:hint="eastAsia" w:ascii="宋体" w:hAnsi="宋体" w:eastAsia="宋体" w:cs="宋体"/>
          <w:b/>
          <w:color w:val="000000"/>
          <w:sz w:val="32"/>
          <w:szCs w:val="32"/>
          <w:lang w:eastAsia="zh-CN"/>
        </w:rPr>
        <w:t>尼勒克县</w:t>
      </w:r>
      <w:r>
        <w:rPr>
          <w:rFonts w:hint="eastAsia" w:ascii="宋体" w:hAnsi="宋体" w:eastAsia="宋体" w:cs="宋体"/>
          <w:b/>
          <w:color w:val="000000"/>
          <w:sz w:val="32"/>
          <w:szCs w:val="32"/>
        </w:rPr>
        <w:t>安全</w:t>
      </w:r>
      <w:bookmarkStart w:id="0" w:name="_GoBack"/>
      <w:bookmarkEnd w:id="0"/>
      <w:r>
        <w:rPr>
          <w:rFonts w:hint="eastAsia" w:ascii="宋体" w:hAnsi="宋体" w:eastAsia="宋体" w:cs="宋体"/>
          <w:b/>
          <w:color w:val="000000"/>
          <w:sz w:val="32"/>
          <w:szCs w:val="32"/>
        </w:rPr>
        <w:t>帽产品质量监督抽查实施细则</w:t>
      </w:r>
    </w:p>
    <w:p w14:paraId="4270CA0E">
      <w:pPr>
        <w:adjustRightInd w:val="0"/>
        <w:snapToGrid w:val="0"/>
        <w:spacing w:line="360" w:lineRule="auto"/>
        <w:jc w:val="center"/>
        <w:rPr>
          <w:rFonts w:hint="eastAsia" w:ascii="宋体" w:hAnsi="宋体" w:eastAsia="宋体" w:cs="宋体"/>
          <w:sz w:val="32"/>
          <w:szCs w:val="32"/>
        </w:rPr>
      </w:pPr>
    </w:p>
    <w:p w14:paraId="5FD0F0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588F01E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14:paraId="639FA4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2012B1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499661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1EE3022F">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6B9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24C3388D">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6C653740">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29F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73783B6C">
            <w:pPr>
              <w:adjustRightInd w:val="0"/>
              <w:snapToGrid w:val="0"/>
              <w:jc w:val="center"/>
              <w:rPr>
                <w:rFonts w:asciiTheme="minorEastAsia" w:hAnsiTheme="minorEastAsia" w:eastAsiaTheme="minorEastAsia"/>
                <w:sz w:val="18"/>
                <w:szCs w:val="18"/>
              </w:rPr>
            </w:pPr>
          </w:p>
        </w:tc>
        <w:tc>
          <w:tcPr>
            <w:tcW w:w="2869" w:type="dxa"/>
            <w:vAlign w:val="center"/>
          </w:tcPr>
          <w:p w14:paraId="79AA28C7">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6D22D53F">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7379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04134B5C">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14:paraId="4975CF6C">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2869" w:type="dxa"/>
            <w:vAlign w:val="center"/>
          </w:tcPr>
          <w:p w14:paraId="209245A5">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bl>
    <w:p w14:paraId="5DDBCF5A">
      <w:pPr>
        <w:spacing w:line="360" w:lineRule="auto"/>
        <w:ind w:firstLine="420" w:firstLineChars="200"/>
        <w:rPr>
          <w:rFonts w:asciiTheme="minorEastAsia" w:hAnsiTheme="minorEastAsia" w:eastAsiaTheme="minorEastAsia"/>
          <w:szCs w:val="28"/>
        </w:rPr>
      </w:pPr>
    </w:p>
    <w:p w14:paraId="5479D2DD">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3D9401ED">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6DCF4485">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p w14:paraId="2A7C03AD">
      <w:pPr>
        <w:snapToGrid w:val="0"/>
        <w:spacing w:line="360" w:lineRule="auto"/>
        <w:ind w:firstLine="200" w:firstLineChars="200"/>
        <w:rPr>
          <w:rFonts w:asciiTheme="minorEastAsia" w:hAnsiTheme="minorEastAsia" w:eastAsiaTheme="minorEastAsia"/>
          <w:bCs/>
          <w:color w:val="000000"/>
          <w:sz w:val="10"/>
          <w:szCs w:val="10"/>
        </w:rPr>
      </w:pPr>
    </w:p>
    <w:tbl>
      <w:tblPr>
        <w:tblStyle w:val="10"/>
        <w:tblW w:w="3418" w:type="pct"/>
        <w:tblInd w:w="1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3032"/>
        <w:gridCol w:w="2322"/>
      </w:tblGrid>
      <w:tr w14:paraId="0715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1" w:type="pct"/>
            <w:noWrap w:val="0"/>
            <w:vAlign w:val="center"/>
          </w:tcPr>
          <w:p w14:paraId="3B78B7F9">
            <w:pPr>
              <w:spacing w:line="300" w:lineRule="exact"/>
              <w:jc w:val="center"/>
              <w:rPr>
                <w:color w:val="000000"/>
                <w:sz w:val="18"/>
                <w:szCs w:val="18"/>
              </w:rPr>
            </w:pPr>
            <w:r>
              <w:rPr>
                <w:rFonts w:hint="eastAsia"/>
                <w:color w:val="000000"/>
                <w:sz w:val="18"/>
                <w:szCs w:val="18"/>
              </w:rPr>
              <w:t>序号</w:t>
            </w:r>
          </w:p>
        </w:tc>
        <w:tc>
          <w:tcPr>
            <w:tcW w:w="2417" w:type="pct"/>
            <w:noWrap w:val="0"/>
            <w:vAlign w:val="center"/>
          </w:tcPr>
          <w:p w14:paraId="27C676CE">
            <w:pPr>
              <w:spacing w:line="300" w:lineRule="exact"/>
              <w:jc w:val="center"/>
              <w:rPr>
                <w:color w:val="000000"/>
                <w:sz w:val="18"/>
                <w:szCs w:val="18"/>
              </w:rPr>
            </w:pPr>
            <w:r>
              <w:rPr>
                <w:rFonts w:hint="eastAsia"/>
                <w:color w:val="000000"/>
                <w:sz w:val="18"/>
                <w:szCs w:val="18"/>
              </w:rPr>
              <w:t>检验项目</w:t>
            </w:r>
          </w:p>
        </w:tc>
        <w:tc>
          <w:tcPr>
            <w:tcW w:w="1851" w:type="pct"/>
            <w:noWrap w:val="0"/>
            <w:vAlign w:val="center"/>
          </w:tcPr>
          <w:p w14:paraId="4DA79BA3">
            <w:pPr>
              <w:spacing w:line="300" w:lineRule="exact"/>
              <w:jc w:val="center"/>
              <w:rPr>
                <w:color w:val="000000"/>
                <w:sz w:val="18"/>
                <w:szCs w:val="18"/>
              </w:rPr>
            </w:pPr>
            <w:r>
              <w:rPr>
                <w:rFonts w:hint="eastAsia"/>
                <w:color w:val="000000"/>
                <w:sz w:val="18"/>
                <w:szCs w:val="18"/>
              </w:rPr>
              <w:t>检验方法</w:t>
            </w:r>
          </w:p>
        </w:tc>
      </w:tr>
      <w:tr w14:paraId="65D2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1" w:type="pct"/>
            <w:noWrap w:val="0"/>
            <w:vAlign w:val="center"/>
          </w:tcPr>
          <w:p w14:paraId="664F964F">
            <w:pPr>
              <w:spacing w:line="300" w:lineRule="exact"/>
              <w:jc w:val="center"/>
              <w:rPr>
                <w:color w:val="000000"/>
                <w:sz w:val="18"/>
                <w:szCs w:val="18"/>
              </w:rPr>
            </w:pPr>
            <w:r>
              <w:rPr>
                <w:rFonts w:hint="eastAsia"/>
                <w:color w:val="000000"/>
                <w:sz w:val="18"/>
                <w:szCs w:val="18"/>
              </w:rPr>
              <w:t>1</w:t>
            </w:r>
          </w:p>
        </w:tc>
        <w:tc>
          <w:tcPr>
            <w:tcW w:w="2417" w:type="pct"/>
            <w:noWrap w:val="0"/>
            <w:vAlign w:val="center"/>
          </w:tcPr>
          <w:p w14:paraId="74300804">
            <w:pPr>
              <w:spacing w:line="300" w:lineRule="exact"/>
              <w:jc w:val="center"/>
              <w:rPr>
                <w:rFonts w:hint="eastAsia"/>
                <w:sz w:val="18"/>
                <w:szCs w:val="18"/>
                <w:highlight w:val="none"/>
                <w:lang w:val="en-US" w:eastAsia="zh-CN"/>
              </w:rPr>
            </w:pPr>
            <w:r>
              <w:rPr>
                <w:rFonts w:hint="eastAsia"/>
                <w:sz w:val="18"/>
                <w:szCs w:val="18"/>
                <w:highlight w:val="none"/>
              </w:rPr>
              <w:t>垂直间距</w:t>
            </w:r>
          </w:p>
        </w:tc>
        <w:tc>
          <w:tcPr>
            <w:tcW w:w="1851" w:type="pct"/>
            <w:vMerge w:val="restart"/>
            <w:noWrap w:val="0"/>
            <w:vAlign w:val="center"/>
          </w:tcPr>
          <w:p w14:paraId="49CA1CB5">
            <w:pPr>
              <w:snapToGrid w:val="0"/>
              <w:jc w:val="center"/>
              <w:rPr>
                <w:rFonts w:hint="eastAsia"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2812-2006</w:t>
            </w:r>
          </w:p>
          <w:p w14:paraId="65B18CE7">
            <w:pPr>
              <w:snapToGrid w:val="0"/>
              <w:jc w:val="center"/>
              <w:rPr>
                <w:rFonts w:hint="default"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w:t>
            </w:r>
            <w:r>
              <w:rPr>
                <w:rFonts w:hint="eastAsia" w:cs="Times New Roman" w:asciiTheme="minorEastAsia" w:hAnsiTheme="minorEastAsia" w:eastAsiaTheme="minorEastAsia"/>
                <w:bCs/>
                <w:color w:val="auto"/>
                <w:sz w:val="18"/>
                <w:szCs w:val="18"/>
                <w:lang w:val="en-US" w:eastAsia="zh-CN"/>
              </w:rPr>
              <w:t>24</w:t>
            </w:r>
          </w:p>
          <w:p w14:paraId="14BFF0F4">
            <w:pPr>
              <w:spacing w:line="300" w:lineRule="exact"/>
              <w:ind w:firstLine="28" w:firstLineChars="16"/>
              <w:jc w:val="center"/>
              <w:rPr>
                <w:sz w:val="18"/>
                <w:szCs w:val="18"/>
              </w:rPr>
            </w:pPr>
          </w:p>
        </w:tc>
      </w:tr>
      <w:tr w14:paraId="39B8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1" w:type="pct"/>
            <w:shd w:val="clear" w:color="auto" w:fill="auto"/>
            <w:noWrap w:val="0"/>
            <w:vAlign w:val="center"/>
          </w:tcPr>
          <w:p w14:paraId="15286036">
            <w:pPr>
              <w:spacing w:line="30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2</w:t>
            </w:r>
          </w:p>
        </w:tc>
        <w:tc>
          <w:tcPr>
            <w:tcW w:w="2417" w:type="pct"/>
            <w:shd w:val="clear" w:color="auto" w:fill="auto"/>
            <w:noWrap w:val="0"/>
            <w:vAlign w:val="center"/>
          </w:tcPr>
          <w:p w14:paraId="7DB6F9A3">
            <w:pPr>
              <w:spacing w:line="300" w:lineRule="exact"/>
              <w:jc w:val="center"/>
              <w:rPr>
                <w:rFonts w:hint="eastAsia"/>
                <w:sz w:val="18"/>
                <w:szCs w:val="18"/>
                <w:highlight w:val="none"/>
                <w:lang w:val="en-US" w:eastAsia="zh-CN"/>
              </w:rPr>
            </w:pPr>
            <w:r>
              <w:rPr>
                <w:rFonts w:hint="eastAsia"/>
                <w:sz w:val="18"/>
                <w:szCs w:val="18"/>
                <w:highlight w:val="none"/>
              </w:rPr>
              <w:t>下颏带强度</w:t>
            </w:r>
          </w:p>
        </w:tc>
        <w:tc>
          <w:tcPr>
            <w:tcW w:w="1851" w:type="pct"/>
            <w:vMerge w:val="continue"/>
            <w:noWrap w:val="0"/>
            <w:vAlign w:val="center"/>
          </w:tcPr>
          <w:p w14:paraId="10C2EB9C">
            <w:pPr>
              <w:spacing w:line="300" w:lineRule="exact"/>
              <w:ind w:firstLine="28" w:firstLineChars="16"/>
              <w:jc w:val="center"/>
              <w:rPr>
                <w:color w:val="000000"/>
                <w:sz w:val="18"/>
                <w:szCs w:val="18"/>
              </w:rPr>
            </w:pPr>
          </w:p>
        </w:tc>
      </w:tr>
      <w:tr w14:paraId="797B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pct"/>
            <w:shd w:val="clear" w:color="auto" w:fill="auto"/>
            <w:noWrap w:val="0"/>
            <w:vAlign w:val="center"/>
          </w:tcPr>
          <w:p w14:paraId="2410ACE2">
            <w:pPr>
              <w:spacing w:line="300" w:lineRule="exact"/>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3</w:t>
            </w:r>
          </w:p>
        </w:tc>
        <w:tc>
          <w:tcPr>
            <w:tcW w:w="2417" w:type="pct"/>
            <w:shd w:val="clear" w:color="auto" w:fill="auto"/>
            <w:noWrap w:val="0"/>
            <w:vAlign w:val="center"/>
          </w:tcPr>
          <w:p w14:paraId="1755318B">
            <w:pPr>
              <w:spacing w:line="300" w:lineRule="exact"/>
              <w:jc w:val="center"/>
              <w:rPr>
                <w:sz w:val="18"/>
                <w:szCs w:val="18"/>
                <w:highlight w:val="none"/>
              </w:rPr>
            </w:pPr>
            <w:r>
              <w:rPr>
                <w:rFonts w:hint="eastAsia"/>
                <w:sz w:val="18"/>
                <w:szCs w:val="18"/>
                <w:highlight w:val="none"/>
              </w:rPr>
              <w:t>冲击吸收性能</w:t>
            </w:r>
          </w:p>
          <w:p w14:paraId="0E6EAD3A">
            <w:pPr>
              <w:spacing w:line="30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（高温、低温、浸水）</w:t>
            </w:r>
          </w:p>
        </w:tc>
        <w:tc>
          <w:tcPr>
            <w:tcW w:w="1851" w:type="pct"/>
            <w:vMerge w:val="continue"/>
            <w:noWrap w:val="0"/>
            <w:vAlign w:val="center"/>
          </w:tcPr>
          <w:p w14:paraId="5D972268">
            <w:pPr>
              <w:spacing w:line="300" w:lineRule="exact"/>
              <w:ind w:firstLine="28" w:firstLineChars="16"/>
              <w:jc w:val="center"/>
              <w:rPr>
                <w:color w:val="000000"/>
                <w:sz w:val="18"/>
                <w:szCs w:val="18"/>
              </w:rPr>
            </w:pPr>
          </w:p>
        </w:tc>
      </w:tr>
      <w:tr w14:paraId="3F3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pct"/>
            <w:shd w:val="clear" w:color="auto" w:fill="auto"/>
            <w:noWrap w:val="0"/>
            <w:vAlign w:val="center"/>
          </w:tcPr>
          <w:p w14:paraId="7BA4C3EE">
            <w:pPr>
              <w:spacing w:line="300" w:lineRule="exact"/>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4</w:t>
            </w:r>
          </w:p>
        </w:tc>
        <w:tc>
          <w:tcPr>
            <w:tcW w:w="2417" w:type="pct"/>
            <w:shd w:val="clear" w:color="auto" w:fill="auto"/>
            <w:noWrap w:val="0"/>
            <w:vAlign w:val="center"/>
          </w:tcPr>
          <w:p w14:paraId="74391C51">
            <w:pPr>
              <w:spacing w:line="300" w:lineRule="exact"/>
              <w:jc w:val="center"/>
              <w:rPr>
                <w:sz w:val="18"/>
                <w:szCs w:val="18"/>
                <w:highlight w:val="none"/>
              </w:rPr>
            </w:pPr>
            <w:r>
              <w:rPr>
                <w:rFonts w:hint="eastAsia"/>
                <w:sz w:val="18"/>
                <w:szCs w:val="18"/>
                <w:highlight w:val="none"/>
              </w:rPr>
              <w:t>耐穿刺性能</w:t>
            </w:r>
          </w:p>
          <w:p w14:paraId="2EDB8C23">
            <w:pPr>
              <w:spacing w:line="30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（高温、低温、浸水）</w:t>
            </w:r>
          </w:p>
        </w:tc>
        <w:tc>
          <w:tcPr>
            <w:tcW w:w="1851" w:type="pct"/>
            <w:vMerge w:val="continue"/>
            <w:noWrap w:val="0"/>
            <w:vAlign w:val="center"/>
          </w:tcPr>
          <w:p w14:paraId="7653CDB1">
            <w:pPr>
              <w:spacing w:line="300" w:lineRule="exact"/>
              <w:ind w:firstLine="28" w:firstLineChars="16"/>
              <w:jc w:val="center"/>
              <w:rPr>
                <w:color w:val="000000"/>
                <w:sz w:val="18"/>
                <w:szCs w:val="18"/>
              </w:rPr>
            </w:pPr>
          </w:p>
        </w:tc>
      </w:tr>
    </w:tbl>
    <w:p w14:paraId="272CD5A7">
      <w:pPr>
        <w:snapToGrid w:val="0"/>
        <w:spacing w:line="360" w:lineRule="auto"/>
        <w:ind w:firstLine="420" w:firstLineChars="200"/>
        <w:rPr>
          <w:rFonts w:hint="eastAsia" w:ascii="宋体" w:hAnsi="宋体"/>
          <w:color w:val="000000"/>
          <w:szCs w:val="21"/>
        </w:rPr>
      </w:pPr>
    </w:p>
    <w:p w14:paraId="690103D7">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7EA0320">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CB08D7A">
      <w:pPr>
        <w:snapToGrid w:val="0"/>
        <w:spacing w:line="360" w:lineRule="auto"/>
        <w:ind w:firstLine="420" w:firstLineChars="200"/>
        <w:rPr>
          <w:rFonts w:ascii="宋体" w:hAnsi="宋体"/>
          <w:color w:val="000000"/>
          <w:szCs w:val="21"/>
        </w:rPr>
      </w:pPr>
    </w:p>
    <w:p w14:paraId="77B258C7">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FCCCBD0">
      <w:pPr>
        <w:snapToGrid w:val="0"/>
        <w:spacing w:line="360" w:lineRule="auto"/>
        <w:rPr>
          <w:rFonts w:ascii="宋体" w:hAnsi="宋体"/>
          <w:b/>
          <w:color w:val="000000"/>
          <w:szCs w:val="21"/>
        </w:rPr>
      </w:pPr>
      <w:r>
        <w:rPr>
          <w:rFonts w:hint="eastAsia" w:ascii="宋体" w:hAnsi="宋体"/>
          <w:b/>
          <w:color w:val="000000"/>
          <w:szCs w:val="21"/>
        </w:rPr>
        <w:t>3.1依据标准</w:t>
      </w:r>
    </w:p>
    <w:p w14:paraId="7B59BD98">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14:paraId="259E9CAA">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4CAC3492">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09C99CDF">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4CD30F77">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66019FE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6304AAD4">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215836A0">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4C679AB">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90B8E5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3F0E734F">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3D1CD4-AB52-4D15-8960-A8480150B3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12A3A10E">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7937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B9C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B34D9B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8237">
    <w:pPr>
      <w:pStyle w:val="7"/>
    </w:pPr>
  </w:p>
  <w:p w14:paraId="450601F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1F5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A9D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3F522BF"/>
    <w:rsid w:val="04721DC5"/>
    <w:rsid w:val="04D37589"/>
    <w:rsid w:val="05AD2E80"/>
    <w:rsid w:val="08FE0B61"/>
    <w:rsid w:val="0A2574B3"/>
    <w:rsid w:val="0A9372A3"/>
    <w:rsid w:val="0B1074C9"/>
    <w:rsid w:val="0C1F1EFB"/>
    <w:rsid w:val="0CCB5F18"/>
    <w:rsid w:val="0D442DD2"/>
    <w:rsid w:val="0F4A7D3F"/>
    <w:rsid w:val="0FFF29BA"/>
    <w:rsid w:val="120E7502"/>
    <w:rsid w:val="12217B86"/>
    <w:rsid w:val="12DE65A2"/>
    <w:rsid w:val="151C7951"/>
    <w:rsid w:val="17621AFA"/>
    <w:rsid w:val="17B4366D"/>
    <w:rsid w:val="18483263"/>
    <w:rsid w:val="19A2504A"/>
    <w:rsid w:val="19A55564"/>
    <w:rsid w:val="19BE3706"/>
    <w:rsid w:val="1A08007F"/>
    <w:rsid w:val="1AD97324"/>
    <w:rsid w:val="1B282B94"/>
    <w:rsid w:val="1B310649"/>
    <w:rsid w:val="1BA004BA"/>
    <w:rsid w:val="1BAB4AFB"/>
    <w:rsid w:val="1BAC7F86"/>
    <w:rsid w:val="1C1147C7"/>
    <w:rsid w:val="1D465D4E"/>
    <w:rsid w:val="1E996D85"/>
    <w:rsid w:val="1EE546E5"/>
    <w:rsid w:val="1F6B1199"/>
    <w:rsid w:val="1FDB486B"/>
    <w:rsid w:val="21271E30"/>
    <w:rsid w:val="212E1121"/>
    <w:rsid w:val="22A70FE7"/>
    <w:rsid w:val="23757D31"/>
    <w:rsid w:val="25901ED5"/>
    <w:rsid w:val="27EE2B60"/>
    <w:rsid w:val="289F43F8"/>
    <w:rsid w:val="28F63612"/>
    <w:rsid w:val="29581C87"/>
    <w:rsid w:val="2A1A1B92"/>
    <w:rsid w:val="2A520044"/>
    <w:rsid w:val="2AE546FC"/>
    <w:rsid w:val="2BC058C2"/>
    <w:rsid w:val="2E755089"/>
    <w:rsid w:val="308675AA"/>
    <w:rsid w:val="315B3B20"/>
    <w:rsid w:val="318744CF"/>
    <w:rsid w:val="32A67D26"/>
    <w:rsid w:val="33242675"/>
    <w:rsid w:val="37094F29"/>
    <w:rsid w:val="37D56009"/>
    <w:rsid w:val="3828352F"/>
    <w:rsid w:val="38D3500A"/>
    <w:rsid w:val="39D709A6"/>
    <w:rsid w:val="3A12300E"/>
    <w:rsid w:val="3BA713EC"/>
    <w:rsid w:val="3D7D3E21"/>
    <w:rsid w:val="3E6E32C4"/>
    <w:rsid w:val="3EC27161"/>
    <w:rsid w:val="3F4F0FDF"/>
    <w:rsid w:val="416803D8"/>
    <w:rsid w:val="421A1D78"/>
    <w:rsid w:val="42AC412E"/>
    <w:rsid w:val="439A4CA4"/>
    <w:rsid w:val="44634DE4"/>
    <w:rsid w:val="46472A10"/>
    <w:rsid w:val="49FF64DF"/>
    <w:rsid w:val="4B245A16"/>
    <w:rsid w:val="4BEC1766"/>
    <w:rsid w:val="4C224BFA"/>
    <w:rsid w:val="4CF62516"/>
    <w:rsid w:val="4E636855"/>
    <w:rsid w:val="4F891FE9"/>
    <w:rsid w:val="4FE26F14"/>
    <w:rsid w:val="50052A51"/>
    <w:rsid w:val="5079410E"/>
    <w:rsid w:val="513601A0"/>
    <w:rsid w:val="52133DDD"/>
    <w:rsid w:val="54442C85"/>
    <w:rsid w:val="544467E1"/>
    <w:rsid w:val="562071F8"/>
    <w:rsid w:val="56A3467A"/>
    <w:rsid w:val="57B54431"/>
    <w:rsid w:val="587A6C75"/>
    <w:rsid w:val="58BD70BF"/>
    <w:rsid w:val="59EE791A"/>
    <w:rsid w:val="5A522FD2"/>
    <w:rsid w:val="5CF54B1C"/>
    <w:rsid w:val="5EF1163D"/>
    <w:rsid w:val="60387B56"/>
    <w:rsid w:val="613D7A8C"/>
    <w:rsid w:val="62A10094"/>
    <w:rsid w:val="633577B2"/>
    <w:rsid w:val="6A1C6093"/>
    <w:rsid w:val="6A58341E"/>
    <w:rsid w:val="6AE12BE7"/>
    <w:rsid w:val="6BB73ABA"/>
    <w:rsid w:val="6C027255"/>
    <w:rsid w:val="6C5D623A"/>
    <w:rsid w:val="6D1B4AE2"/>
    <w:rsid w:val="6DBE53FE"/>
    <w:rsid w:val="74314512"/>
    <w:rsid w:val="74860EFC"/>
    <w:rsid w:val="74CD19AC"/>
    <w:rsid w:val="755271FF"/>
    <w:rsid w:val="77FA0D5A"/>
    <w:rsid w:val="78874D6A"/>
    <w:rsid w:val="78AB6DF5"/>
    <w:rsid w:val="79533A3E"/>
    <w:rsid w:val="79645AF2"/>
    <w:rsid w:val="7984574E"/>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457A-170D-431A-8FA0-9048A210FC40}">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806</Words>
  <Characters>865</Characters>
  <Lines>7</Lines>
  <Paragraphs>2</Paragraphs>
  <TotalTime>0</TotalTime>
  <ScaleCrop>false</ScaleCrop>
  <LinksUpToDate>false</LinksUpToDate>
  <CharactersWithSpaces>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吐尔洪·哈斯木</cp:lastModifiedBy>
  <cp:lastPrinted>2022-05-19T08:26:00Z</cp:lastPrinted>
  <dcterms:modified xsi:type="dcterms:W3CDTF">2025-10-16T15:14:47Z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0BD25B1AE3414A918D0AF90ED1E74722_13</vt:lpwstr>
  </property>
  <property fmtid="{D5CDD505-2E9C-101B-9397-08002B2CF9AE}" pid="4" name="commondata">
    <vt:lpwstr>eyJoZGlkIjoiYTQ3NTQyZmJmYzIyOTQ1MmE5NGM5ODkyNzQ0MmUxMmIifQ==</vt:lpwstr>
  </property>
  <property fmtid="{D5CDD505-2E9C-101B-9397-08002B2CF9AE}" pid="5" name="KSOTemplateDocerSaveRecord">
    <vt:lpwstr>eyJoZGlkIjoiZjJiYzRjZDg4ODIxMmZkMzVjYzYxNzIzMDEwYjJjY2IiLCJ1c2VySWQiOiI1NzUyMzIxMDIifQ==</vt:lpwstr>
  </property>
</Properties>
</file>